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A7" w:rsidRDefault="00E179A7" w:rsidP="006008A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223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CA1588" w:rsidRDefault="00CA1588" w:rsidP="00E179A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2B2B15" w:rsidRPr="002B2B15" w:rsidRDefault="002B2B15" w:rsidP="00E179A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2B2B15" w:rsidRPr="002B2B15" w:rsidRDefault="002B2B15" w:rsidP="002B2B1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6008A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40A.03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BA3813" w:rsidRDefault="002B2B15" w:rsidP="002B2B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r w:rsidRPr="00BA38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Personal injuries counterclaim</w:t>
      </w:r>
      <w:r w:rsidRPr="00BA3813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2B2B15" w:rsidRPr="002B2B15" w:rsidRDefault="002B2B15" w:rsidP="002B2B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</w:t>
      </w: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to be appended to the personal injuries defence</w:t>
      </w: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PERSONAL INJURIES COUNTERCLAIM Civil Liability and Courts Act 2004, section 12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STATEMENT OF COUNTERCLAIM</w:t>
      </w:r>
    </w:p>
    <w:p w:rsidR="002B2B15" w:rsidRPr="002B2B15" w:rsidRDefault="002B2B15" w:rsidP="002B2B1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2B2B1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2B2B1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O.40A, r.7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</w:t>
      </w: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A personal injuries counterclaim must contain a statement entitled “Statement of Counterclaim” which must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after="0" w:line="240" w:lineRule="auto"/>
        <w:ind w:left="144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(a) set out, in numbered paragraphs, full and detailed particulars of—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after="0" w:line="240" w:lineRule="auto"/>
        <w:ind w:left="216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(i) the nature of the claim and of each allegation, assertion or plea comprising that claim;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(ii) the injuries to the respondent alleged to have been occasioned by the wrong of the claimant;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(iii) the acts of the claimant constituting the said wrong and the circumstances relating to the commission of the said wrong;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(iv) each instance of negligence by the claimant,</w:t>
      </w:r>
    </w:p>
    <w:p w:rsidR="002B2B15" w:rsidRPr="002B2B15" w:rsidRDefault="002B2B15" w:rsidP="002B2B15">
      <w:pPr>
        <w:spacing w:after="0" w:line="240" w:lineRule="auto"/>
        <w:ind w:left="144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(b) contain a schedule of full particulars of all items of special damage in respect of which the respondent is making a claim, and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ind w:left="1440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(c) give details of the basis upon which jurisdiction is claimed.</w:t>
      </w:r>
    </w:p>
    <w:p w:rsidR="002B2B15" w:rsidRPr="002B2B15" w:rsidRDefault="002B2B15" w:rsidP="002B2B1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following is a suggested format in which the indorsement might be presented: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1. DESCRIPTION OF PARTIES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2. WRONG ALLEGED AGAINST THE CLAIMANT (OR AGAINST EACH CLAIMANT)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3. PARTICULARS OF THE ACTS OF THE CLAIMANT (OR OF EACH CLAIMANT) CONSTITUTING THE WRONG AND OF THE CIRCUMSTANCES RELATING TO THE COMMISSION OF THE WRONG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(Full particulars should be set out)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4. PARTICULARS OF EACH INSTANCE OF NEGLIGENCE BY THE CLAIMANT (OR BY EACH CLAIMANT)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lastRenderedPageBreak/>
        <w:t>(Full particulars should be set out)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5. PARTICULARS OF THE INJURIES TO THE RESPONDENT OCCASIONED BY THE WRONG OF THE CLAIMANT (OR OF EACH CLAIMANT)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6. RELIEFS CLAIMED BY THE RESPONDENT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7. The bringing of this personal injuries counterclaim requires to be authorised in accordance with *section 14 *section 17 *section 32 *section 36 *section 49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*rules under section 46(3) of the Personal Injuries Assessment Board Act 2003 and these personal injuries proceedings have been authorised by the Personal Injuries Assessment Board, under *section 14 *section 17 *section 32 *section 36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*section 49 *rules under section 46(3) by authorisation dated the </w:t>
      </w:r>
      <w:proofErr w:type="gramStart"/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.....</w:t>
      </w:r>
      <w:proofErr w:type="gramEnd"/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day of ......20.... under reference number ........ </w:t>
      </w:r>
    </w:p>
    <w:p w:rsidR="002B2B15" w:rsidRPr="002B2B15" w:rsidRDefault="002B2B15" w:rsidP="002B2B1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Schedule</w:t>
      </w: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2B2B15" w:rsidRPr="002B2B15" w:rsidRDefault="002B2B15" w:rsidP="002B2B1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2B2B15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PARTICULARS OF ITEMS OF SPECIAL DAMAGE</w:t>
      </w:r>
    </w:p>
    <w:p w:rsidR="00BB7BD5" w:rsidRPr="002B2B15" w:rsidRDefault="002B2B15" w:rsidP="002B2B15">
      <w:pPr>
        <w:rPr>
          <w:rFonts w:ascii="Verdana" w:hAnsi="Verdana"/>
        </w:rPr>
      </w:pPr>
      <w:r w:rsidRPr="002B2B1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2B2B1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[conclude as in Form 40.02]</w:t>
      </w:r>
    </w:p>
    <w:sectPr w:rsidR="00BB7BD5" w:rsidRPr="002B2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15"/>
    <w:rsid w:val="002B2B15"/>
    <w:rsid w:val="006008AA"/>
    <w:rsid w:val="007068DC"/>
    <w:rsid w:val="00BA3813"/>
    <w:rsid w:val="00BB7BD5"/>
    <w:rsid w:val="00CA1588"/>
    <w:rsid w:val="00E1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D7ECAC-5F7B-4C4D-A5D6-E57E3357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2B15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6</cp:revision>
  <dcterms:created xsi:type="dcterms:W3CDTF">2019-10-22T10:26:00Z</dcterms:created>
  <dcterms:modified xsi:type="dcterms:W3CDTF">2019-11-13T18:14:00Z</dcterms:modified>
</cp:coreProperties>
</file>